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C4" w:rsidRDefault="00331F05" w:rsidP="005E3823">
      <w:pPr>
        <w:ind w:firstLine="284"/>
        <w:rPr>
          <w:b/>
        </w:rPr>
      </w:pPr>
      <w:r>
        <w:rPr>
          <w:b/>
        </w:rPr>
        <w:t>Bibliographie sur la première personne</w:t>
      </w:r>
    </w:p>
    <w:p w:rsidR="00331F05" w:rsidRPr="0046672D" w:rsidRDefault="00331F05" w:rsidP="005E3823">
      <w:pPr>
        <w:ind w:firstLine="284"/>
        <w:rPr>
          <w:b/>
        </w:rPr>
      </w:pPr>
      <w:r w:rsidRPr="0046672D">
        <w:rPr>
          <w:b/>
          <w:i/>
        </w:rPr>
        <w:t>Textes classiques</w:t>
      </w:r>
    </w:p>
    <w:p w:rsidR="00331F05" w:rsidRDefault="00331F05" w:rsidP="005E3823">
      <w:pPr>
        <w:ind w:firstLine="284"/>
        <w:rPr>
          <w:i/>
        </w:rPr>
      </w:pPr>
      <w:r>
        <w:t xml:space="preserve">Platon ( ?) </w:t>
      </w:r>
      <w:r>
        <w:rPr>
          <w:i/>
        </w:rPr>
        <w:t>Premier Alcibiade</w:t>
      </w:r>
    </w:p>
    <w:p w:rsidR="00AB6A1D" w:rsidRPr="00AB6A1D" w:rsidRDefault="00AB6A1D" w:rsidP="005E3823">
      <w:pPr>
        <w:ind w:firstLine="284"/>
      </w:pPr>
      <w:r>
        <w:t xml:space="preserve">Plotin </w:t>
      </w:r>
      <w:r w:rsidRPr="00AB6A1D">
        <w:rPr>
          <w:i/>
        </w:rPr>
        <w:t>Traité</w:t>
      </w:r>
      <w:r>
        <w:t xml:space="preserve"> 49 (</w:t>
      </w:r>
      <w:r>
        <w:rPr>
          <w:i/>
        </w:rPr>
        <w:t xml:space="preserve">Ennéades </w:t>
      </w:r>
      <w:r>
        <w:t>V, 3)</w:t>
      </w:r>
    </w:p>
    <w:p w:rsidR="00331F05" w:rsidRDefault="00331F05" w:rsidP="005E3823">
      <w:pPr>
        <w:ind w:firstLine="284"/>
        <w:rPr>
          <w:i/>
        </w:rPr>
      </w:pPr>
      <w:r>
        <w:t xml:space="preserve">Saint Augustin, </w:t>
      </w:r>
      <w:r>
        <w:rPr>
          <w:i/>
        </w:rPr>
        <w:t xml:space="preserve">La Trinité </w:t>
      </w:r>
      <w:r>
        <w:t xml:space="preserve"> X ; </w:t>
      </w:r>
      <w:r>
        <w:rPr>
          <w:i/>
        </w:rPr>
        <w:t xml:space="preserve">Confessions </w:t>
      </w:r>
      <w:r>
        <w:t xml:space="preserve">X ; </w:t>
      </w:r>
      <w:r>
        <w:rPr>
          <w:i/>
        </w:rPr>
        <w:t>Soliloques</w:t>
      </w:r>
      <w:r w:rsidR="00AB6A1D">
        <w:rPr>
          <w:i/>
        </w:rPr>
        <w:t> ;</w:t>
      </w:r>
    </w:p>
    <w:p w:rsidR="00AB6A1D" w:rsidRDefault="00AB6A1D" w:rsidP="005E3823">
      <w:pPr>
        <w:ind w:firstLine="284"/>
      </w:pPr>
      <w:r>
        <w:t xml:space="preserve">Thomas d’Aquin, </w:t>
      </w:r>
      <w:r>
        <w:rPr>
          <w:i/>
        </w:rPr>
        <w:t>Somme de théologie</w:t>
      </w:r>
      <w:r>
        <w:t xml:space="preserve"> I, q. 87</w:t>
      </w:r>
    </w:p>
    <w:p w:rsidR="00AB6A1D" w:rsidRDefault="00AB6A1D" w:rsidP="005E3823">
      <w:pPr>
        <w:ind w:firstLine="284"/>
      </w:pPr>
      <w:r>
        <w:t xml:space="preserve">Descartes, </w:t>
      </w:r>
      <w:r>
        <w:rPr>
          <w:i/>
        </w:rPr>
        <w:t xml:space="preserve">Méditations Métaphysiques </w:t>
      </w:r>
      <w:r>
        <w:t>(Méditation seconde)</w:t>
      </w:r>
    </w:p>
    <w:p w:rsidR="00AB6A1D" w:rsidRDefault="00AB6A1D" w:rsidP="005E3823">
      <w:pPr>
        <w:ind w:firstLine="284"/>
      </w:pPr>
      <w:r>
        <w:t xml:space="preserve">Locke, </w:t>
      </w:r>
      <w:r>
        <w:rPr>
          <w:i/>
        </w:rPr>
        <w:t>Essai sur l’entendement humain</w:t>
      </w:r>
      <w:r>
        <w:t xml:space="preserve"> II, 27</w:t>
      </w:r>
    </w:p>
    <w:p w:rsidR="00AB6A1D" w:rsidRDefault="00AB6A1D" w:rsidP="005E3823">
      <w:pPr>
        <w:ind w:right="424" w:firstLine="284"/>
      </w:pPr>
      <w:r w:rsidRPr="00F56567">
        <w:t xml:space="preserve">Hume, </w:t>
      </w:r>
      <w:r w:rsidRPr="00F56567">
        <w:rPr>
          <w:i/>
        </w:rPr>
        <w:t>Traité de la nature humaine</w:t>
      </w:r>
      <w:r w:rsidRPr="00F56567">
        <w:t xml:space="preserve"> I, 4, 6</w:t>
      </w:r>
    </w:p>
    <w:p w:rsidR="00AB6A1D" w:rsidRDefault="00AB6A1D" w:rsidP="005E3823">
      <w:pPr>
        <w:ind w:right="424" w:firstLine="284"/>
      </w:pPr>
      <w:r>
        <w:t xml:space="preserve">Kant, </w:t>
      </w:r>
      <w:r>
        <w:rPr>
          <w:i/>
        </w:rPr>
        <w:t>Critique de la raison pure</w:t>
      </w:r>
      <w:r>
        <w:t>, Analytique des concepts, 2</w:t>
      </w:r>
      <w:r w:rsidRPr="00AB6A1D">
        <w:rPr>
          <w:vertAlign w:val="superscript"/>
        </w:rPr>
        <w:t>e</w:t>
      </w:r>
      <w:r>
        <w:t xml:space="preserve"> section §§15-18 ; Paralogismes de la raison pure</w:t>
      </w:r>
    </w:p>
    <w:p w:rsidR="00AB6A1D" w:rsidRDefault="00AB6A1D" w:rsidP="005E3823">
      <w:pPr>
        <w:ind w:right="424" w:firstLine="284"/>
      </w:pPr>
      <w:r>
        <w:t xml:space="preserve">Fichte, </w:t>
      </w:r>
      <w:r>
        <w:rPr>
          <w:i/>
        </w:rPr>
        <w:t>Doctrine de la science</w:t>
      </w:r>
      <w:r>
        <w:t xml:space="preserve"> (début)</w:t>
      </w:r>
    </w:p>
    <w:p w:rsidR="00AB6A1D" w:rsidRDefault="00AB6A1D" w:rsidP="005E3823">
      <w:pPr>
        <w:ind w:right="424" w:firstLine="284"/>
      </w:pPr>
      <w:r>
        <w:t>Hegel</w:t>
      </w:r>
      <w:r>
        <w:rPr>
          <w:i/>
        </w:rPr>
        <w:t>, Phénoménologie de l’esprit</w:t>
      </w:r>
      <w:r>
        <w:t xml:space="preserve"> </w:t>
      </w:r>
    </w:p>
    <w:p w:rsidR="0046672D" w:rsidRDefault="0046672D" w:rsidP="005E3823">
      <w:pPr>
        <w:ind w:right="424" w:firstLine="284"/>
      </w:pPr>
      <w:r>
        <w:t xml:space="preserve">Nietzsche, </w:t>
      </w:r>
      <w:r>
        <w:rPr>
          <w:i/>
        </w:rPr>
        <w:t>Par-delà le bien et le mal</w:t>
      </w:r>
      <w:r>
        <w:t xml:space="preserve"> §§16-17</w:t>
      </w:r>
    </w:p>
    <w:p w:rsidR="0046672D" w:rsidRDefault="0046672D" w:rsidP="005E3823">
      <w:pPr>
        <w:ind w:right="424" w:firstLine="284"/>
      </w:pPr>
      <w:r>
        <w:t xml:space="preserve">Husserl </w:t>
      </w:r>
      <w:r>
        <w:rPr>
          <w:i/>
        </w:rPr>
        <w:t>Méditations cartésiennes</w:t>
      </w:r>
      <w:r>
        <w:t>, (Méditations I et III)</w:t>
      </w:r>
    </w:p>
    <w:p w:rsidR="0046672D" w:rsidRDefault="0046672D" w:rsidP="005E3823">
      <w:pPr>
        <w:ind w:right="424" w:firstLine="284"/>
      </w:pPr>
      <w:r>
        <w:t xml:space="preserve">Heidegger, </w:t>
      </w:r>
      <w:r>
        <w:rPr>
          <w:i/>
        </w:rPr>
        <w:t>Etre et temps</w:t>
      </w:r>
      <w:r>
        <w:t xml:space="preserve">, </w:t>
      </w:r>
    </w:p>
    <w:p w:rsidR="0046672D" w:rsidRPr="0046672D" w:rsidRDefault="0046672D" w:rsidP="005E3823">
      <w:pPr>
        <w:ind w:right="424" w:firstLine="284"/>
      </w:pPr>
    </w:p>
    <w:p w:rsidR="00AB6A1D" w:rsidRPr="0046672D" w:rsidRDefault="0046672D" w:rsidP="005E3823">
      <w:pPr>
        <w:ind w:firstLine="284"/>
        <w:rPr>
          <w:b/>
          <w:i/>
        </w:rPr>
      </w:pPr>
      <w:r>
        <w:rPr>
          <w:b/>
          <w:i/>
        </w:rPr>
        <w:t>Textes contemporains</w:t>
      </w:r>
    </w:p>
    <w:p w:rsidR="0046672D" w:rsidRPr="005E3823" w:rsidRDefault="0046672D" w:rsidP="005E3823">
      <w:pPr>
        <w:pStyle w:val="Sansinterligne"/>
        <w:ind w:firstLine="284"/>
        <w:rPr>
          <w:i/>
        </w:rPr>
      </w:pPr>
      <w:r w:rsidRPr="005E3823">
        <w:rPr>
          <w:i/>
        </w:rPr>
        <w:t>En français</w:t>
      </w:r>
    </w:p>
    <w:p w:rsidR="005E3823" w:rsidRDefault="005E3823" w:rsidP="005E3823">
      <w:pPr>
        <w:pStyle w:val="Sansinterligne"/>
        <w:ind w:firstLine="284"/>
      </w:pPr>
    </w:p>
    <w:p w:rsidR="0046672D" w:rsidRDefault="0046672D" w:rsidP="005E3823">
      <w:pPr>
        <w:pStyle w:val="Sansinterligne"/>
        <w:ind w:firstLine="284"/>
      </w:pPr>
      <w:bookmarkStart w:id="0" w:name="_GoBack"/>
      <w:r>
        <w:t xml:space="preserve">Chauvier, S., </w:t>
      </w:r>
      <w:r>
        <w:rPr>
          <w:i/>
        </w:rPr>
        <w:t>Dire « je ». Essai sur la subjectivité</w:t>
      </w:r>
      <w:r>
        <w:t>, Vrin, 2002</w:t>
      </w:r>
    </w:p>
    <w:p w:rsidR="0046672D" w:rsidRDefault="0046672D" w:rsidP="005E3823">
      <w:pPr>
        <w:pStyle w:val="Sansinterligne"/>
        <w:ind w:firstLine="284"/>
      </w:pPr>
      <w:r>
        <w:t xml:space="preserve">— </w:t>
      </w:r>
      <w:r>
        <w:rPr>
          <w:i/>
        </w:rPr>
        <w:t>Qu’est-ce qu’une personne ?</w:t>
      </w:r>
      <w:r>
        <w:t xml:space="preserve">, Vrin, 2003 </w:t>
      </w:r>
    </w:p>
    <w:p w:rsidR="0046672D" w:rsidRDefault="0046672D" w:rsidP="005E3823">
      <w:pPr>
        <w:pStyle w:val="Sansinterligne"/>
        <w:ind w:firstLine="284"/>
      </w:pPr>
      <w:r w:rsidRPr="000A786F">
        <w:t xml:space="preserve">Descombes, V., </w:t>
      </w:r>
      <w:r w:rsidRPr="000A786F">
        <w:rPr>
          <w:i/>
        </w:rPr>
        <w:t>Le Complément de sujet</w:t>
      </w:r>
      <w:r w:rsidRPr="000A786F">
        <w:t>, Gallimard 2004 </w:t>
      </w:r>
    </w:p>
    <w:p w:rsidR="0046672D" w:rsidRDefault="0046672D" w:rsidP="005E3823">
      <w:pPr>
        <w:pStyle w:val="Sansinterligne"/>
        <w:ind w:firstLine="284"/>
      </w:pPr>
      <w:r>
        <w:rPr>
          <w:i/>
        </w:rPr>
        <w:t>— Le parler de soi</w:t>
      </w:r>
      <w:r>
        <w:t>, Folio, 2014</w:t>
      </w:r>
    </w:p>
    <w:p w:rsidR="0046672D" w:rsidRPr="000B30E4" w:rsidRDefault="0046672D" w:rsidP="005E3823">
      <w:pPr>
        <w:pStyle w:val="Sansinterligne"/>
        <w:ind w:firstLine="284"/>
      </w:pPr>
      <w:r>
        <w:t xml:space="preserve">Recanati, F., « Le Soi implicite », </w:t>
      </w:r>
      <w:r>
        <w:rPr>
          <w:i/>
        </w:rPr>
        <w:t>Revue de Métaphysique et de Morale</w:t>
      </w:r>
      <w:r w:rsidR="000B30E4">
        <w:t>, « Le moi / The Self / Le soi »dir. B. Longuenesse, octobre 2010</w:t>
      </w:r>
    </w:p>
    <w:p w:rsidR="0046672D" w:rsidRDefault="0046672D" w:rsidP="005E3823">
      <w:pPr>
        <w:pStyle w:val="Sansinterligne"/>
        <w:ind w:firstLine="284"/>
      </w:pPr>
      <w:r>
        <w:t xml:space="preserve">Ricoeur, P., </w:t>
      </w:r>
      <w:r>
        <w:rPr>
          <w:i/>
        </w:rPr>
        <w:t>Soi-même comme un autre</w:t>
      </w:r>
      <w:r>
        <w:t>, Seuil, 1990</w:t>
      </w:r>
    </w:p>
    <w:p w:rsidR="0046672D" w:rsidRDefault="0046672D" w:rsidP="005E3823">
      <w:pPr>
        <w:pStyle w:val="Sansinterligne"/>
        <w:ind w:firstLine="284"/>
      </w:pPr>
    </w:p>
    <w:p w:rsidR="000B30E4" w:rsidRDefault="000B30E4" w:rsidP="005E3823">
      <w:pPr>
        <w:pStyle w:val="Sansinterligne"/>
        <w:ind w:firstLine="284"/>
      </w:pPr>
      <w:r w:rsidRPr="005E3823">
        <w:rPr>
          <w:u w:val="single"/>
        </w:rPr>
        <w:t>Traductions </w:t>
      </w:r>
      <w:r>
        <w:t>:</w:t>
      </w:r>
    </w:p>
    <w:p w:rsidR="000B30E4" w:rsidRPr="00684214" w:rsidRDefault="000B30E4" w:rsidP="005E3823">
      <w:pPr>
        <w:pStyle w:val="Sansinterligne"/>
        <w:ind w:firstLine="284"/>
      </w:pPr>
      <w:r>
        <w:t xml:space="preserve">Anscombe, E., « La première personne », in </w:t>
      </w:r>
      <w:r>
        <w:rPr>
          <w:i/>
        </w:rPr>
        <w:t>Repha, n°6</w:t>
      </w:r>
      <w:r w:rsidR="00684214">
        <w:t xml:space="preserve"> (original anglais 1979, repris dans Cassam (ed.) 1990)</w:t>
      </w:r>
    </w:p>
    <w:p w:rsidR="00684214" w:rsidRPr="00684214" w:rsidRDefault="00684214" w:rsidP="005E3823">
      <w:pPr>
        <w:pStyle w:val="Sansinterligne"/>
        <w:ind w:firstLine="284"/>
      </w:pPr>
      <w:r>
        <w:t xml:space="preserve">Moran, R., </w:t>
      </w:r>
      <w:r>
        <w:rPr>
          <w:i/>
        </w:rPr>
        <w:t>Autorité et aliénation</w:t>
      </w:r>
      <w:r>
        <w:t>, Vrin, 2013 (original anglais 2001)</w:t>
      </w:r>
    </w:p>
    <w:p w:rsidR="000B30E4" w:rsidRPr="000B30E4" w:rsidRDefault="000B30E4" w:rsidP="005E3823">
      <w:pPr>
        <w:pStyle w:val="Sansinterligne"/>
        <w:ind w:firstLine="284"/>
      </w:pPr>
      <w:r>
        <w:t>Perry, J</w:t>
      </w:r>
      <w:proofErr w:type="gramStart"/>
      <w:r>
        <w:t>. ,</w:t>
      </w:r>
      <w:proofErr w:type="gramEnd"/>
      <w:r>
        <w:t xml:space="preserve"> « Le problème de l’indexical essentiel » in, id. </w:t>
      </w:r>
      <w:r>
        <w:rPr>
          <w:i/>
        </w:rPr>
        <w:t>Problèmes de l’indexicalité</w:t>
      </w:r>
      <w:r>
        <w:t>, Editions CSLI 1999, (original anglais 1979)</w:t>
      </w:r>
    </w:p>
    <w:p w:rsidR="000B30E4" w:rsidRDefault="000B30E4" w:rsidP="005E3823">
      <w:pPr>
        <w:pStyle w:val="Sansinterligne"/>
        <w:ind w:firstLine="284"/>
      </w:pPr>
      <w:r>
        <w:t xml:space="preserve">Tugendhat, E., </w:t>
      </w:r>
      <w:r>
        <w:rPr>
          <w:i/>
        </w:rPr>
        <w:t>Conscience de soi et autodétermination</w:t>
      </w:r>
      <w:r>
        <w:t>, A. Colin, 1995 (original alemand 1979)</w:t>
      </w:r>
    </w:p>
    <w:p w:rsidR="000B30E4" w:rsidRPr="000B30E4" w:rsidRDefault="000B30E4" w:rsidP="005E3823">
      <w:pPr>
        <w:pStyle w:val="Sansinterligne"/>
        <w:ind w:firstLine="284"/>
      </w:pPr>
      <w:r>
        <w:t xml:space="preserve">Wittgenstein, L., </w:t>
      </w:r>
      <w:r>
        <w:rPr>
          <w:i/>
        </w:rPr>
        <w:t>Le Cahier bleu et le cahier brun</w:t>
      </w:r>
      <w:r>
        <w:t>, Gallimard, 1996 (original anglais dicté en 1934)</w:t>
      </w:r>
    </w:p>
    <w:p w:rsidR="0046672D" w:rsidRDefault="0046672D" w:rsidP="005E3823">
      <w:pPr>
        <w:pStyle w:val="Sansinterligne"/>
        <w:ind w:firstLine="284"/>
      </w:pPr>
    </w:p>
    <w:p w:rsidR="000B30E4" w:rsidRPr="005E3823" w:rsidRDefault="000B30E4" w:rsidP="005E3823">
      <w:pPr>
        <w:pStyle w:val="Sansinterligne"/>
        <w:ind w:firstLine="284"/>
        <w:rPr>
          <w:i/>
        </w:rPr>
      </w:pPr>
      <w:r w:rsidRPr="005E3823">
        <w:rPr>
          <w:i/>
        </w:rPr>
        <w:t>En anglais</w:t>
      </w:r>
    </w:p>
    <w:p w:rsidR="005E3823" w:rsidRDefault="005E3823" w:rsidP="005E3823">
      <w:pPr>
        <w:pStyle w:val="Sansinterligne"/>
        <w:ind w:firstLine="284"/>
      </w:pPr>
    </w:p>
    <w:p w:rsidR="00684214" w:rsidRDefault="00684214" w:rsidP="005E3823">
      <w:pPr>
        <w:pStyle w:val="Sansinterligne"/>
        <w:ind w:firstLine="284"/>
      </w:pPr>
      <w:r>
        <w:t xml:space="preserve">Cassam, Q. (ed.) </w:t>
      </w:r>
      <w:r>
        <w:rPr>
          <w:i/>
        </w:rPr>
        <w:t>Self-Knowledge</w:t>
      </w:r>
      <w:r>
        <w:t>, Oxford Readings in Philosophy, Oxford, 1994</w:t>
      </w:r>
    </w:p>
    <w:p w:rsidR="00684214" w:rsidRDefault="00684214" w:rsidP="005E3823">
      <w:pPr>
        <w:pStyle w:val="Sansinterligne"/>
        <w:ind w:firstLine="284"/>
      </w:pPr>
      <w:r>
        <w:lastRenderedPageBreak/>
        <w:t xml:space="preserve">Evans, G. </w:t>
      </w:r>
      <w:r>
        <w:rPr>
          <w:i/>
        </w:rPr>
        <w:t>The Varieties of Reference</w:t>
      </w:r>
      <w:r>
        <w:t>, Oxford, 1982, ch. 6 et 7</w:t>
      </w:r>
    </w:p>
    <w:p w:rsidR="005E3823" w:rsidRPr="005E3823" w:rsidRDefault="005E3823" w:rsidP="005E3823">
      <w:pPr>
        <w:pStyle w:val="Sansinterligne"/>
        <w:ind w:firstLine="284"/>
      </w:pPr>
      <w:r>
        <w:t xml:space="preserve">Hamilton, H., </w:t>
      </w:r>
      <w:r>
        <w:rPr>
          <w:i/>
        </w:rPr>
        <w:t>The Self in Question</w:t>
      </w:r>
      <w:r>
        <w:t>, Palgrave Macmillan, 2013</w:t>
      </w:r>
    </w:p>
    <w:p w:rsidR="00684214" w:rsidRDefault="00684214" w:rsidP="005E3823">
      <w:pPr>
        <w:pStyle w:val="Sansinterligne"/>
        <w:ind w:firstLine="284"/>
      </w:pPr>
      <w:r>
        <w:t xml:space="preserve">Peacocke, C., </w:t>
      </w:r>
      <w:r>
        <w:rPr>
          <w:i/>
        </w:rPr>
        <w:t>The Mirror of the World</w:t>
      </w:r>
      <w:r>
        <w:t xml:space="preserve">. </w:t>
      </w:r>
      <w:r w:rsidRPr="00684214">
        <w:rPr>
          <w:i/>
        </w:rPr>
        <w:t>Subjects, Consciousness and Self-Consciousness</w:t>
      </w:r>
      <w:r>
        <w:t>, Oxford, 2014</w:t>
      </w:r>
    </w:p>
    <w:p w:rsidR="005E3823" w:rsidRPr="005E3823" w:rsidRDefault="005E3823" w:rsidP="005E3823">
      <w:pPr>
        <w:pStyle w:val="Sansinterligne"/>
        <w:ind w:firstLine="284"/>
      </w:pPr>
      <w:r>
        <w:t xml:space="preserve">Prosser, S. and Recanati, F. (eds.), </w:t>
      </w:r>
      <w:r>
        <w:rPr>
          <w:i/>
        </w:rPr>
        <w:t>Immunity to Error through Misidentification</w:t>
      </w:r>
      <w:r>
        <w:t>, Cambridge, 2012</w:t>
      </w:r>
    </w:p>
    <w:p w:rsidR="0046672D" w:rsidRDefault="000B30E4" w:rsidP="005E3823">
      <w:pPr>
        <w:pStyle w:val="Sansinterligne"/>
        <w:ind w:firstLine="284"/>
      </w:pPr>
      <w:r>
        <w:t xml:space="preserve">Recanati, F. </w:t>
      </w:r>
      <w:r w:rsidR="0046672D">
        <w:rPr>
          <w:i/>
        </w:rPr>
        <w:t>Perpectival Thought</w:t>
      </w:r>
      <w:r w:rsidR="00684214">
        <w:t>, Oxford University Press, 2007</w:t>
      </w:r>
    </w:p>
    <w:p w:rsidR="005E3823" w:rsidRDefault="005E3823" w:rsidP="005E3823">
      <w:pPr>
        <w:pStyle w:val="Sansinterligne"/>
        <w:ind w:firstLine="284"/>
      </w:pPr>
      <w:r>
        <w:t xml:space="preserve">Shoemaker, S., </w:t>
      </w:r>
      <w:r>
        <w:rPr>
          <w:i/>
        </w:rPr>
        <w:t>The First Person Perpective</w:t>
      </w:r>
      <w:r>
        <w:t xml:space="preserve"> </w:t>
      </w:r>
      <w:r w:rsidRPr="005E3823">
        <w:rPr>
          <w:i/>
        </w:rPr>
        <w:t>and Other Essays</w:t>
      </w:r>
      <w:r>
        <w:rPr>
          <w:i/>
        </w:rPr>
        <w:t xml:space="preserve">, </w:t>
      </w:r>
      <w:r w:rsidRPr="005E3823">
        <w:t>Cambridge, 1996</w:t>
      </w:r>
    </w:p>
    <w:p w:rsidR="005E3823" w:rsidRPr="005E3823" w:rsidRDefault="005E3823" w:rsidP="005E3823">
      <w:pPr>
        <w:pStyle w:val="Sansinterligne"/>
        <w:ind w:firstLine="284"/>
      </w:pPr>
      <w:r>
        <w:t xml:space="preserve">Williams, C.F.J., </w:t>
      </w:r>
      <w:r>
        <w:rPr>
          <w:i/>
        </w:rPr>
        <w:t>What is Identity</w:t>
      </w:r>
      <w:r>
        <w:t>, Oxford, 1989, ch. 9</w:t>
      </w:r>
    </w:p>
    <w:bookmarkEnd w:id="0"/>
    <w:sectPr w:rsidR="005E3823" w:rsidRPr="005E3823" w:rsidSect="00D342A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041A"/>
    <w:multiLevelType w:val="hybridMultilevel"/>
    <w:tmpl w:val="60EE145C"/>
    <w:lvl w:ilvl="0" w:tplc="6592ED5C">
      <w:start w:val="1"/>
      <w:numFmt w:val="bullet"/>
      <w:lvlText w:val="—"/>
      <w:lvlJc w:val="left"/>
      <w:pPr>
        <w:ind w:left="720" w:hanging="360"/>
      </w:pPr>
      <w:rPr>
        <w:rFonts w:ascii="Cambria" w:eastAsia="ＭＳ 明朝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F05"/>
    <w:rsid w:val="000B30E4"/>
    <w:rsid w:val="00112E75"/>
    <w:rsid w:val="002B5B88"/>
    <w:rsid w:val="00331F05"/>
    <w:rsid w:val="0046672D"/>
    <w:rsid w:val="005E3823"/>
    <w:rsid w:val="006458C6"/>
    <w:rsid w:val="00684214"/>
    <w:rsid w:val="007922C4"/>
    <w:rsid w:val="00AB6A1D"/>
    <w:rsid w:val="00AD26D6"/>
    <w:rsid w:val="00B04CC1"/>
    <w:rsid w:val="00D1393E"/>
    <w:rsid w:val="00D342A3"/>
    <w:rsid w:val="00DA6864"/>
    <w:rsid w:val="00DD4D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26D6"/>
    <w:pPr>
      <w:spacing w:after="120"/>
    </w:pPr>
    <w:rPr>
      <w:rFonts w:ascii="Cambria" w:hAnsi="Cambria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6672D"/>
    <w:pPr>
      <w:spacing w:after="0"/>
    </w:pPr>
    <w:rPr>
      <w:rFonts w:ascii="Cambria" w:hAnsi="Cambria" w:cs="Times New Roman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26D6"/>
    <w:pPr>
      <w:spacing w:after="120"/>
    </w:pPr>
    <w:rPr>
      <w:rFonts w:ascii="Cambria" w:hAnsi="Cambria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6672D"/>
    <w:pPr>
      <w:spacing w:after="0"/>
    </w:pPr>
    <w:rPr>
      <w:rFonts w:ascii="Cambria" w:hAnsi="Cambria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390</Words>
  <Characters>1843</Characters>
  <Application>Microsoft Macintosh Word</Application>
  <DocSecurity>0</DocSecurity>
  <Lines>27</Lines>
  <Paragraphs>3</Paragraphs>
  <ScaleCrop>false</ScaleCrop>
  <Company>Université de Nantes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 Michon</dc:creator>
  <cp:keywords/>
  <dc:description/>
  <cp:lastModifiedBy>Cyrille Michon</cp:lastModifiedBy>
  <cp:revision>1</cp:revision>
  <dcterms:created xsi:type="dcterms:W3CDTF">2017-01-16T16:07:00Z</dcterms:created>
  <dcterms:modified xsi:type="dcterms:W3CDTF">2017-01-16T17:28:00Z</dcterms:modified>
</cp:coreProperties>
</file>